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ED" w:rsidRDefault="00471DED" w:rsidP="00471DED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471DED" w:rsidRDefault="00471DED" w:rsidP="00471DED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471DED" w:rsidTr="00FB78C5">
        <w:tc>
          <w:tcPr>
            <w:tcW w:w="2599" w:type="dxa"/>
          </w:tcPr>
          <w:p w:rsidR="00471DED" w:rsidRDefault="00471DED" w:rsidP="00FB78C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31</w:t>
            </w:r>
          </w:p>
        </w:tc>
        <w:tc>
          <w:tcPr>
            <w:tcW w:w="2599" w:type="dxa"/>
          </w:tcPr>
          <w:p w:rsidR="00471DED" w:rsidRDefault="00471DED" w:rsidP="00FB78C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01</w:t>
            </w:r>
          </w:p>
        </w:tc>
        <w:tc>
          <w:tcPr>
            <w:tcW w:w="2599" w:type="dxa"/>
          </w:tcPr>
          <w:p w:rsidR="00471DED" w:rsidRDefault="00471DED" w:rsidP="00FB78C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02</w:t>
            </w:r>
          </w:p>
        </w:tc>
        <w:tc>
          <w:tcPr>
            <w:tcW w:w="2599" w:type="dxa"/>
          </w:tcPr>
          <w:p w:rsidR="00471DED" w:rsidRDefault="00471DED" w:rsidP="00FB78C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03</w:t>
            </w:r>
          </w:p>
        </w:tc>
        <w:tc>
          <w:tcPr>
            <w:tcW w:w="2600" w:type="dxa"/>
          </w:tcPr>
          <w:p w:rsidR="00471DED" w:rsidRDefault="00471DED" w:rsidP="00FB78C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04</w:t>
            </w:r>
          </w:p>
        </w:tc>
      </w:tr>
      <w:tr w:rsidR="00471DED" w:rsidTr="00FB78C5">
        <w:tc>
          <w:tcPr>
            <w:tcW w:w="2599" w:type="dxa"/>
          </w:tcPr>
          <w:p w:rsidR="00471DED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471DED" w:rsidRDefault="00471DED" w:rsidP="00FB78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Manipulación silábica, silaba medial. </w:t>
            </w:r>
          </w:p>
          <w:p w:rsidR="00471DED" w:rsidRPr="00861C25" w:rsidRDefault="00471DED" w:rsidP="00FB78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471DED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471DED" w:rsidRPr="00861C25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números ha</w:t>
            </w:r>
            <w:r>
              <w:rPr>
                <w:rFonts w:ascii="Century Gothic" w:hAnsi="Century Gothic"/>
                <w:sz w:val="20"/>
                <w:szCs w:val="20"/>
              </w:rPr>
              <w:t>sta el 20, composición y descomposición.</w:t>
            </w:r>
          </w:p>
        </w:tc>
        <w:tc>
          <w:tcPr>
            <w:tcW w:w="2599" w:type="dxa"/>
          </w:tcPr>
          <w:p w:rsidR="00471DED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471DED" w:rsidRPr="00861C25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manipulación silábica, silaba medial. </w:t>
            </w:r>
          </w:p>
          <w:p w:rsidR="00471DED" w:rsidRPr="00861C25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71DED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471DED" w:rsidRPr="00861C25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números ha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sta el 20, composición y descomposición. </w:t>
            </w:r>
          </w:p>
        </w:tc>
        <w:tc>
          <w:tcPr>
            <w:tcW w:w="2600" w:type="dxa"/>
          </w:tcPr>
          <w:p w:rsidR="00471DED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471DED" w:rsidRPr="005D125A" w:rsidRDefault="00471DED" w:rsidP="00FB78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Texto literario, el poema. </w:t>
            </w:r>
          </w:p>
        </w:tc>
      </w:tr>
      <w:tr w:rsidR="00471DED" w:rsidTr="00FB78C5">
        <w:tc>
          <w:tcPr>
            <w:tcW w:w="2599" w:type="dxa"/>
          </w:tcPr>
          <w:p w:rsidR="00471DED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Lenguaje artístico </w:t>
            </w:r>
          </w:p>
          <w:p w:rsidR="00471DED" w:rsidRPr="00861C25" w:rsidRDefault="00471DED" w:rsidP="00FB78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técnica líneas, basado en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flocklore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(tema C.M.)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99" w:type="dxa"/>
          </w:tcPr>
          <w:p w:rsidR="00471DED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471DED" w:rsidRPr="00861C25" w:rsidRDefault="00471DED" w:rsidP="00FB78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</w:t>
            </w:r>
            <w:r>
              <w:rPr>
                <w:rFonts w:ascii="Century Gothic" w:hAnsi="Century Gothic"/>
                <w:sz w:val="20"/>
                <w:szCs w:val="20"/>
              </w:rPr>
              <w:t>: Seres vivos y objetos inertes, vertebrados e invertebrados.</w:t>
            </w:r>
          </w:p>
          <w:p w:rsidR="00471DED" w:rsidRPr="00861C25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71DED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471DED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  <w:p w:rsidR="00471DED" w:rsidRDefault="00471DED" w:rsidP="00471D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baile típico zona sur, juegos tradicionales.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471DED" w:rsidRPr="00861C25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71DED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471DED" w:rsidRDefault="00471DED" w:rsidP="00FB78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celebración 18 de septiembre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Símbolos patrios, tradiciones. </w:t>
            </w:r>
          </w:p>
          <w:p w:rsidR="00471DED" w:rsidRPr="00861C25" w:rsidRDefault="00471DED" w:rsidP="00FB78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00" w:type="dxa"/>
          </w:tcPr>
          <w:p w:rsidR="00471DED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471DED" w:rsidRPr="00861C25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</w:t>
            </w:r>
            <w:r>
              <w:rPr>
                <w:rFonts w:ascii="Century Gothic" w:hAnsi="Century Gothic"/>
                <w:sz w:val="20"/>
                <w:szCs w:val="20"/>
              </w:rPr>
              <w:t>do: números hasta el 20, composición y descomposición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471DED" w:rsidTr="00FB78C5">
        <w:tc>
          <w:tcPr>
            <w:tcW w:w="2599" w:type="dxa"/>
          </w:tcPr>
          <w:p w:rsidR="00471DED" w:rsidRPr="005D125A" w:rsidRDefault="00471DED" w:rsidP="00FB78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471DED" w:rsidRPr="00861C25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71DED" w:rsidRPr="00861C25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71DED" w:rsidRPr="00861C25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471DED" w:rsidRPr="00861C25" w:rsidRDefault="00471DED" w:rsidP="00FB78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71DED" w:rsidRDefault="00471DED" w:rsidP="00471DED">
      <w:pPr>
        <w:jc w:val="both"/>
        <w:rPr>
          <w:rFonts w:ascii="Century Gothic" w:hAnsi="Century Gothic"/>
          <w:b/>
          <w:sz w:val="28"/>
          <w:szCs w:val="28"/>
        </w:rPr>
      </w:pPr>
    </w:p>
    <w:p w:rsidR="00471DED" w:rsidRDefault="00471DED" w:rsidP="00471DED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Las actividades, se encuentran compartidas desde el DRIVER   e</w:t>
      </w:r>
      <w:r>
        <w:rPr>
          <w:rFonts w:ascii="Century Gothic" w:hAnsi="Century Gothic"/>
          <w:b/>
          <w:sz w:val="28"/>
          <w:szCs w:val="28"/>
        </w:rPr>
        <w:t>n la carpeta “ACTIVIDADES SEPTIEMBRE 2020” en la semana “31 DE AGOSTO AL 04 DE SEPTIEMBRE</w:t>
      </w:r>
      <w:r>
        <w:rPr>
          <w:rFonts w:ascii="Century Gothic" w:hAnsi="Century Gothic"/>
          <w:b/>
          <w:sz w:val="28"/>
          <w:szCs w:val="28"/>
        </w:rPr>
        <w:t xml:space="preserve">”, en las carpetas de los días correspondientes. </w:t>
      </w:r>
    </w:p>
    <w:p w:rsidR="00471DED" w:rsidRDefault="00471DED" w:rsidP="00471DED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Se les recuerda que las actividades, se suben el día anterior a realizarlas</w:t>
      </w:r>
      <w:r>
        <w:rPr>
          <w:rFonts w:ascii="Century Gothic" w:hAnsi="Century Gothic"/>
          <w:b/>
          <w:sz w:val="28"/>
          <w:szCs w:val="28"/>
        </w:rPr>
        <w:t>.</w:t>
      </w:r>
      <w:bookmarkStart w:id="0" w:name="_GoBack"/>
      <w:bookmarkEnd w:id="0"/>
    </w:p>
    <w:p w:rsidR="00471DED" w:rsidRPr="00861C25" w:rsidRDefault="00471DED" w:rsidP="00471DED">
      <w:pPr>
        <w:rPr>
          <w:rFonts w:ascii="Century Gothic" w:hAnsi="Century Gothic"/>
          <w:b/>
          <w:sz w:val="28"/>
          <w:szCs w:val="28"/>
        </w:rPr>
      </w:pPr>
    </w:p>
    <w:p w:rsidR="00471DED" w:rsidRDefault="00471DED" w:rsidP="00471DED"/>
    <w:p w:rsidR="00471DED" w:rsidRDefault="00471DED" w:rsidP="00471DED"/>
    <w:p w:rsidR="00471DED" w:rsidRDefault="00471DED" w:rsidP="00471DED"/>
    <w:p w:rsidR="00471DED" w:rsidRDefault="00471DED" w:rsidP="00471DED"/>
    <w:p w:rsidR="00471DED" w:rsidRDefault="00471DED" w:rsidP="00471DED"/>
    <w:p w:rsidR="00471DED" w:rsidRDefault="00471DED" w:rsidP="00471DED"/>
    <w:p w:rsidR="00471DED" w:rsidRDefault="00471DED" w:rsidP="00471DED"/>
    <w:p w:rsidR="00471DED" w:rsidRDefault="00471DED" w:rsidP="00471DED"/>
    <w:p w:rsidR="00471DED" w:rsidRDefault="00471DED" w:rsidP="00471DED"/>
    <w:p w:rsidR="00471DED" w:rsidRDefault="00471DED" w:rsidP="00471DED"/>
    <w:p w:rsidR="00E924F5" w:rsidRDefault="00471DED"/>
    <w:sectPr w:rsidR="00E924F5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ED"/>
    <w:rsid w:val="00471DED"/>
    <w:rsid w:val="004E092E"/>
    <w:rsid w:val="00D5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BE0C"/>
  <w15:chartTrackingRefBased/>
  <w15:docId w15:val="{A813D453-D841-48B6-AF29-11A3EE35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D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2020-08-26T15:37:00Z</dcterms:created>
  <dcterms:modified xsi:type="dcterms:W3CDTF">2020-08-26T15:44:00Z</dcterms:modified>
</cp:coreProperties>
</file>