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D8459F">
        <w:rPr>
          <w:rFonts w:cstheme="minorHAnsi"/>
          <w:b/>
          <w:sz w:val="24"/>
          <w:szCs w:val="24"/>
          <w:u w:val="single"/>
        </w:rPr>
        <w:t>PLANIFICACIÓN SEMANAL DE ACTIVIDADES:</w:t>
      </w:r>
      <w:r w:rsidR="00DE77B3" w:rsidRPr="00D8459F">
        <w:rPr>
          <w:rFonts w:cstheme="minorHAnsi"/>
          <w:b/>
          <w:sz w:val="24"/>
          <w:szCs w:val="24"/>
          <w:u w:val="single"/>
        </w:rPr>
        <w:t xml:space="preserve"> SEMANA 22 al 26 </w:t>
      </w:r>
      <w:r w:rsidR="00FA3BD5" w:rsidRPr="00D8459F">
        <w:rPr>
          <w:rFonts w:cstheme="minorHAnsi"/>
          <w:b/>
          <w:sz w:val="24"/>
          <w:szCs w:val="24"/>
          <w:u w:val="single"/>
        </w:rPr>
        <w:t xml:space="preserve"> DE JUNIO, 2.020</w:t>
      </w:r>
      <w:r w:rsidR="00594A98">
        <w:rPr>
          <w:rFonts w:cstheme="minorHAnsi"/>
          <w:b/>
          <w:sz w:val="24"/>
          <w:szCs w:val="24"/>
          <w:u w:val="single"/>
        </w:rPr>
        <w:t xml:space="preserve"> </w:t>
      </w:r>
    </w:p>
    <w:p w:rsidR="00594A98" w:rsidRPr="00D8459F" w:rsidRDefault="008154AE" w:rsidP="008638E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COPIA EN TU CUADERNO: </w:t>
      </w:r>
      <w:r w:rsidR="00594A98">
        <w:rPr>
          <w:rFonts w:cstheme="minorHAnsi"/>
          <w:b/>
          <w:sz w:val="24"/>
          <w:szCs w:val="24"/>
          <w:u w:val="single"/>
        </w:rPr>
        <w:t>FECHA, OBJETIVO Y NÚMERO DE GUÍA.</w:t>
      </w:r>
    </w:p>
    <w:p w:rsidR="00FE6F8A" w:rsidRPr="00861DCF" w:rsidRDefault="00F43D5C" w:rsidP="008638E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lunes, 22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861DCF" w:rsidTr="00AB558C">
        <w:tc>
          <w:tcPr>
            <w:tcW w:w="8978" w:type="dxa"/>
          </w:tcPr>
          <w:p w:rsidR="0032498F" w:rsidRPr="00594A98" w:rsidRDefault="0032498F" w:rsidP="00A863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594A98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N°18.</w:t>
            </w:r>
          </w:p>
          <w:p w:rsidR="00AB558C" w:rsidRPr="00861DCF" w:rsidRDefault="00AB558C" w:rsidP="00A863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 w:rsidR="00A8636B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Relacionar y explicar acciones y consecuencias</w:t>
            </w:r>
          </w:p>
          <w:p w:rsidR="006E7C5F" w:rsidRDefault="006E7C5F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“Matilda” (pág. 230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) texto de estudio.</w:t>
            </w:r>
          </w:p>
          <w:p w:rsidR="00A8636B" w:rsidRDefault="00A8636B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aplicar estrategias de comprensión lectora (destacar lo más importante de cada párrafo)</w:t>
            </w:r>
          </w:p>
          <w:p w:rsidR="00EC3A87" w:rsidRPr="00A8636B" w:rsidRDefault="00A8636B" w:rsidP="00861DC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Responde en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tu cuaderno las preguntas 1 a 5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.-</w:t>
            </w:r>
          </w:p>
        </w:tc>
      </w:tr>
    </w:tbl>
    <w:p w:rsidR="008638EF" w:rsidRPr="00861DC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DE77B3" w:rsidP="006E7C5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miércoles, 24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32498F" w:rsidRPr="00594A98" w:rsidRDefault="0032498F" w:rsidP="009C513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594A98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 N°19.</w:t>
            </w:r>
          </w:p>
          <w:p w:rsidR="006E7C5F" w:rsidRPr="00861DCF" w:rsidRDefault="006E7C5F" w:rsidP="009C513B">
            <w:pPr>
              <w:autoSpaceDE w:val="0"/>
              <w:autoSpaceDN w:val="0"/>
              <w:adjustRightInd w:val="0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y comprender un artículo informativo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(texto no literario)</w:t>
            </w:r>
          </w:p>
          <w:p w:rsidR="006E7C5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“Cambio climático” (pág. 270-271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)</w:t>
            </w:r>
          </w:p>
          <w:p w:rsidR="00A8636B" w:rsidRDefault="00A8636B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aplicar estrategias de comprensión lectora (destacar lo más importante de cada párrafo)</w:t>
            </w:r>
          </w:p>
          <w:p w:rsidR="006E7C5F" w:rsidRPr="00A8636B" w:rsidRDefault="00A8636B" w:rsidP="006E7C5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Responde en tu cuaderno las preguntas 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1 a 5.-</w:t>
            </w:r>
          </w:p>
        </w:tc>
      </w:tr>
    </w:tbl>
    <w:p w:rsidR="004B1ECD" w:rsidRPr="00861DCF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F43D5C" w:rsidP="006E7C5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Clase: jueves, 25 </w:t>
      </w:r>
      <w:r w:rsidR="006E7C5F" w:rsidRPr="00861DCF">
        <w:rPr>
          <w:rFonts w:cstheme="minorHAnsi"/>
          <w:b/>
          <w:sz w:val="28"/>
          <w:szCs w:val="28"/>
        </w:rPr>
        <w:t>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32498F" w:rsidRPr="00594A98" w:rsidRDefault="00594A98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 N°20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Escribir un artículo informativo 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(texto informativo)</w:t>
            </w:r>
          </w:p>
          <w:p w:rsidR="006E7C5F" w:rsidRPr="00861DC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Relee el texto de la clase anterior: “Cambio climático” (pág. 270-271) y luego es</w:t>
            </w:r>
            <w:r w:rsidR="00B842C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cribe tu propio artículo informa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tivo, resumiendo las ideas más importantes del texto que leíste.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Recuerda respeta</w:t>
            </w:r>
            <w:r w:rsidR="00FC5F45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 toda las partes del artículo informativo (revisa Power Point de la clase del 15 de junio sobre los artículos informativos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)</w:t>
            </w:r>
          </w:p>
          <w:p w:rsidR="00FC5F45" w:rsidRDefault="00FC5F45" w:rsidP="00FC5F45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*Recordatorio: Estructura del artículo informativo:    </w:t>
            </w:r>
          </w:p>
          <w:p w:rsidR="00FC5F45" w:rsidRDefault="00FC5F45" w:rsidP="00FC5F45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1.Introducción</w:t>
            </w:r>
          </w:p>
          <w:p w:rsidR="00FC5F45" w:rsidRDefault="00FC5F45" w:rsidP="00FC5F45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2. Desarrollo</w:t>
            </w:r>
          </w:p>
          <w:p w:rsidR="00FC5F45" w:rsidRPr="00FC5F45" w:rsidRDefault="00FC5F45" w:rsidP="00FC5F45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3. Conclusión o cierre.</w:t>
            </w:r>
          </w:p>
          <w:p w:rsidR="005729EF" w:rsidRDefault="00594A98" w:rsidP="00594A98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     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escribir con letra clara y revisar ortografía.</w:t>
            </w:r>
          </w:p>
          <w:p w:rsidR="005729EF" w:rsidRPr="00D8459F" w:rsidRDefault="00D8459F" w:rsidP="005729EF">
            <w:pPr>
              <w:ind w:left="360"/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D8459F"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  <w:t>*Observa la pauta de evaluación para la creación</w:t>
            </w:r>
            <w:r w:rsidR="00FC5F45"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  <w:t xml:space="preserve"> del artículo informativo</w:t>
            </w:r>
          </w:p>
        </w:tc>
      </w:tr>
    </w:tbl>
    <w:p w:rsidR="006E7C5F" w:rsidRPr="0052624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52624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526246">
        <w:rPr>
          <w:rFonts w:cstheme="minorHAnsi"/>
          <w:b/>
          <w:bCs/>
          <w:color w:val="48403A"/>
          <w:sz w:val="24"/>
          <w:szCs w:val="24"/>
        </w:rPr>
        <w:t xml:space="preserve">Recuerda enviar las fotografías o video del trabajo  a mi correo: </w:t>
      </w:r>
      <w:hyperlink r:id="rId7" w:history="1">
        <w:r w:rsidRPr="0052624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526246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Pr="00D8459F" w:rsidRDefault="005729EF" w:rsidP="00D845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8403A"/>
          <w:sz w:val="28"/>
          <w:szCs w:val="28"/>
          <w:u w:val="single"/>
        </w:rPr>
      </w:pPr>
      <w:r w:rsidRPr="00D8459F">
        <w:rPr>
          <w:rFonts w:cstheme="minorHAnsi"/>
          <w:b/>
          <w:bCs/>
          <w:color w:val="48403A"/>
          <w:sz w:val="28"/>
          <w:szCs w:val="28"/>
          <w:u w:val="single"/>
        </w:rPr>
        <w:t>P</w:t>
      </w:r>
      <w:r w:rsidR="00FC5F45">
        <w:rPr>
          <w:rFonts w:cstheme="minorHAnsi"/>
          <w:b/>
          <w:bCs/>
          <w:color w:val="48403A"/>
          <w:sz w:val="28"/>
          <w:szCs w:val="28"/>
          <w:u w:val="single"/>
        </w:rPr>
        <w:t>auta elaboración de un artículo informativo:</w:t>
      </w: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944"/>
        <w:gridCol w:w="1131"/>
        <w:gridCol w:w="1145"/>
        <w:gridCol w:w="1114"/>
      </w:tblGrid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Aspectos a evaluar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Si (2ptos)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D8459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No </w:t>
            </w:r>
          </w:p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(0 ptos)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5729E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Puntaje</w:t>
            </w: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FC5F45" w:rsidP="00FC5F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Presenta un título que llame la atención y tenga relación con el texto</w:t>
            </w:r>
            <w:r w:rsidR="005729EF" w:rsidRPr="00D845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FC5F45" w:rsidP="00FC5F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Desarrolla una introducción </w:t>
            </w:r>
            <w:r w:rsidR="005729EF" w:rsidRPr="00D8459F">
              <w:rPr>
                <w:sz w:val="28"/>
                <w:szCs w:val="28"/>
              </w:rPr>
              <w:t>que</w:t>
            </w:r>
            <w:r>
              <w:rPr>
                <w:sz w:val="28"/>
                <w:szCs w:val="28"/>
              </w:rPr>
              <w:t xml:space="preserve"> presenta el tema central del artículo informativo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FC5F45" w:rsidP="00FC5F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Presenta un desarrollo</w:t>
            </w:r>
            <w:r w:rsidR="005729EF" w:rsidRPr="00D8459F">
              <w:rPr>
                <w:sz w:val="28"/>
                <w:szCs w:val="28"/>
              </w:rPr>
              <w:t xml:space="preserve"> que explica con más detalles los </w:t>
            </w:r>
            <w:r w:rsidR="00A748BA">
              <w:rPr>
                <w:sz w:val="28"/>
                <w:szCs w:val="28"/>
              </w:rPr>
              <w:t>aspectos del artículo informativo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Organiza, en general, la información desde lo más importante a lo menos importante.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D8459F">
              <w:rPr>
                <w:sz w:val="28"/>
                <w:szCs w:val="28"/>
              </w:rPr>
              <w:t>Separa las ideas en párrafos y en cada párrafo hay una idea.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A748BA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Presenta una conclusión que resume la idea central del artículo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una ortografía sin errores.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526246" w:rsidRPr="00D8459F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sectPr w:rsidR="00526246" w:rsidRPr="00D8459F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6F9" w:rsidRDefault="00F946F9" w:rsidP="00E06D0C">
      <w:pPr>
        <w:spacing w:after="0" w:line="240" w:lineRule="auto"/>
      </w:pPr>
      <w:r>
        <w:separator/>
      </w:r>
    </w:p>
  </w:endnote>
  <w:endnote w:type="continuationSeparator" w:id="1">
    <w:p w:rsidR="00F946F9" w:rsidRDefault="00F946F9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piraNar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6F9" w:rsidRDefault="00F946F9" w:rsidP="00E06D0C">
      <w:pPr>
        <w:spacing w:after="0" w:line="240" w:lineRule="auto"/>
      </w:pPr>
      <w:r>
        <w:separator/>
      </w:r>
    </w:p>
  </w:footnote>
  <w:footnote w:type="continuationSeparator" w:id="1">
    <w:p w:rsidR="00F946F9" w:rsidRDefault="00F946F9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F43D5C">
      <w:rPr>
        <w:b/>
        <w:sz w:val="20"/>
        <w:szCs w:val="20"/>
        <w:u w:val="single"/>
      </w:rPr>
      <w:t>CURSO: 6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62F43"/>
    <w:multiLevelType w:val="hybridMultilevel"/>
    <w:tmpl w:val="98A44946"/>
    <w:lvl w:ilvl="0" w:tplc="C42EC260">
      <w:start w:val="1"/>
      <w:numFmt w:val="decimal"/>
      <w:lvlText w:val="%1."/>
      <w:lvlJc w:val="left"/>
      <w:pPr>
        <w:ind w:left="720" w:hanging="360"/>
      </w:pPr>
      <w:rPr>
        <w:rFonts w:ascii="AspiraNar-Light" w:eastAsia="AspiraNar-Light" w:cs="AspiraNar-Light" w:hint="default"/>
        <w:b w:val="0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164FAC"/>
    <w:rsid w:val="00182472"/>
    <w:rsid w:val="00186F79"/>
    <w:rsid w:val="001C2646"/>
    <w:rsid w:val="001D662B"/>
    <w:rsid w:val="0023101E"/>
    <w:rsid w:val="00257248"/>
    <w:rsid w:val="0032498F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729EF"/>
    <w:rsid w:val="00594A98"/>
    <w:rsid w:val="005976C1"/>
    <w:rsid w:val="005A4342"/>
    <w:rsid w:val="0061356E"/>
    <w:rsid w:val="00624A1B"/>
    <w:rsid w:val="00640EC5"/>
    <w:rsid w:val="0064491F"/>
    <w:rsid w:val="006C41B7"/>
    <w:rsid w:val="006E7C5F"/>
    <w:rsid w:val="00735456"/>
    <w:rsid w:val="0075703F"/>
    <w:rsid w:val="00795F91"/>
    <w:rsid w:val="008154AE"/>
    <w:rsid w:val="008319D0"/>
    <w:rsid w:val="00861DCF"/>
    <w:rsid w:val="008638EF"/>
    <w:rsid w:val="00874C71"/>
    <w:rsid w:val="00896496"/>
    <w:rsid w:val="008B6188"/>
    <w:rsid w:val="00912F6F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748BA"/>
    <w:rsid w:val="00A82696"/>
    <w:rsid w:val="00A8636B"/>
    <w:rsid w:val="00AB558C"/>
    <w:rsid w:val="00B15C71"/>
    <w:rsid w:val="00B23CAB"/>
    <w:rsid w:val="00B34CCD"/>
    <w:rsid w:val="00B57349"/>
    <w:rsid w:val="00B8025C"/>
    <w:rsid w:val="00B842C4"/>
    <w:rsid w:val="00B944F7"/>
    <w:rsid w:val="00BA3791"/>
    <w:rsid w:val="00BC47B9"/>
    <w:rsid w:val="00BD0D00"/>
    <w:rsid w:val="00C51C82"/>
    <w:rsid w:val="00C527C1"/>
    <w:rsid w:val="00C63AC4"/>
    <w:rsid w:val="00C710F8"/>
    <w:rsid w:val="00C80C33"/>
    <w:rsid w:val="00D02A5A"/>
    <w:rsid w:val="00D07D07"/>
    <w:rsid w:val="00D330CA"/>
    <w:rsid w:val="00D8459F"/>
    <w:rsid w:val="00D947F5"/>
    <w:rsid w:val="00DA62F2"/>
    <w:rsid w:val="00DC228A"/>
    <w:rsid w:val="00DD76F9"/>
    <w:rsid w:val="00DE77B3"/>
    <w:rsid w:val="00E06D0C"/>
    <w:rsid w:val="00E210F0"/>
    <w:rsid w:val="00E5323D"/>
    <w:rsid w:val="00E70873"/>
    <w:rsid w:val="00EA13E9"/>
    <w:rsid w:val="00EB072C"/>
    <w:rsid w:val="00EB4D19"/>
    <w:rsid w:val="00EC3A87"/>
    <w:rsid w:val="00EF0B11"/>
    <w:rsid w:val="00EF21D0"/>
    <w:rsid w:val="00F124BD"/>
    <w:rsid w:val="00F25AFA"/>
    <w:rsid w:val="00F43D5C"/>
    <w:rsid w:val="00F50C1F"/>
    <w:rsid w:val="00F72742"/>
    <w:rsid w:val="00F946F9"/>
    <w:rsid w:val="00FA3BD5"/>
    <w:rsid w:val="00FB59A7"/>
    <w:rsid w:val="00FC5F45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7</cp:revision>
  <cp:lastPrinted>2020-05-13T21:27:00Z</cp:lastPrinted>
  <dcterms:created xsi:type="dcterms:W3CDTF">2020-06-17T20:20:00Z</dcterms:created>
  <dcterms:modified xsi:type="dcterms:W3CDTF">2020-06-17T22:18:00Z</dcterms:modified>
</cp:coreProperties>
</file>